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6BF2" w:rsidRDefault="00E77A13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Newton’s Laws Project: Assignment and Rubric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Option 1: 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- Write a letter to Sir Isaac Newton. 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Explain each of his laws and how they impact your day-to-day life (examples from your life)</w:t>
      </w:r>
    </w:p>
    <w:p w:rsidR="00486BF2" w:rsidRDefault="00E77A13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>- Explain why you think the laws are important to understand and why they are still studied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Should be at least five paragraphs</w:t>
      </w:r>
    </w:p>
    <w:p w:rsidR="00486BF2" w:rsidRDefault="00E77A13">
      <w:pPr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>- Should be typed unless adding illustrations or some creative element that must be hand-written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Option 2: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Write a song exp</w:t>
      </w:r>
      <w:r>
        <w:rPr>
          <w:sz w:val="20"/>
          <w:szCs w:val="20"/>
        </w:rPr>
        <w:t xml:space="preserve">laining Newton’s Three Laws that is at LEAST three </w:t>
      </w:r>
      <w:proofErr w:type="gramStart"/>
      <w:r>
        <w:rPr>
          <w:sz w:val="20"/>
          <w:szCs w:val="20"/>
        </w:rPr>
        <w:t>minutes</w:t>
      </w:r>
      <w:proofErr w:type="gramEnd"/>
      <w:r>
        <w:rPr>
          <w:sz w:val="20"/>
          <w:szCs w:val="20"/>
        </w:rPr>
        <w:t xml:space="preserve"> long</w:t>
      </w:r>
    </w:p>
    <w:p w:rsidR="00486BF2" w:rsidRDefault="00E77A13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>- Your explanation should include examples and a description of why the laws are important to understand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Song must be recorded – either in a video or a voice recording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Option 3: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Create a</w:t>
      </w:r>
      <w:r>
        <w:rPr>
          <w:sz w:val="20"/>
          <w:szCs w:val="20"/>
        </w:rPr>
        <w:t xml:space="preserve"> poster explaining Newton’s Three Laws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Should have drawings and captions to visually explain all three laws.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Must include an explanation of why it’s important to understand these laws</w:t>
      </w:r>
    </w:p>
    <w:p w:rsidR="00486BF2" w:rsidRDefault="00E77A13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- Illustrations must be creative and original</w:t>
      </w:r>
    </w:p>
    <w:p w:rsidR="00486BF2" w:rsidRDefault="00E77A13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Rubric</w:t>
      </w:r>
    </w:p>
    <w:tbl>
      <w:tblPr>
        <w:tblStyle w:val="a"/>
        <w:tblW w:w="11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Rubric "/>
        <w:tblDescription w:val="Rubric Chart for newton's laws project "/>
      </w:tblPr>
      <w:tblGrid>
        <w:gridCol w:w="1440"/>
        <w:gridCol w:w="1740"/>
        <w:gridCol w:w="1935"/>
        <w:gridCol w:w="2280"/>
        <w:gridCol w:w="3705"/>
      </w:tblGrid>
      <w:tr w:rsidR="00486BF2" w:rsidTr="00E77A13">
        <w:trPr>
          <w:tblHeader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486BF2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0" w:name="_GoBack" w:colFirst="0" w:colLast="5"/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</w:t>
            </w:r>
            <w:r>
              <w:rPr>
                <w:sz w:val="20"/>
                <w:szCs w:val="20"/>
              </w:rPr>
              <w:t>ory</w:t>
            </w:r>
          </w:p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Improvement</w:t>
            </w:r>
          </w:p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Satisfactory</w:t>
            </w:r>
          </w:p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Exemplary </w:t>
            </w:r>
          </w:p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points</w:t>
            </w:r>
          </w:p>
        </w:tc>
      </w:tr>
      <w:tr w:rsidR="00486BF2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Newton’s First Law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absent.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incomplete or does not correctly address the prompt. No examples are provided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Newton’s First Law is explained correctly. At least one example is included to support the student’s explanation. The argument is clear and coherent.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Newton’s First Law is explained correctly. At least two examples are included to support the student’s </w:t>
            </w:r>
            <w:proofErr w:type="spellStart"/>
            <w:proofErr w:type="gramStart"/>
            <w:r>
              <w:rPr>
                <w:sz w:val="20"/>
                <w:szCs w:val="20"/>
              </w:rPr>
              <w:t>exp</w:t>
            </w:r>
            <w:r>
              <w:rPr>
                <w:sz w:val="20"/>
                <w:szCs w:val="20"/>
              </w:rPr>
              <w:t>lanation.The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argument is clear, concise, and coherent. It is evident that the student has gained mastery of the subject.</w:t>
            </w:r>
          </w:p>
        </w:tc>
      </w:tr>
      <w:tr w:rsidR="00486BF2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Newton’s Second Law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absent.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section is incomplete or does not correctly address the prompt. No ex</w:t>
            </w:r>
            <w:r>
              <w:rPr>
                <w:sz w:val="20"/>
                <w:szCs w:val="20"/>
              </w:rPr>
              <w:t xml:space="preserve">amples are provided 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Newton’s Second Law is explained correctly. At least one example is included to support the student’s explanation. The argument is clear and coherent.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Newton’s Second Law is explained correctly. At least two examples are included to s</w:t>
            </w:r>
            <w:r>
              <w:rPr>
                <w:sz w:val="20"/>
                <w:szCs w:val="20"/>
              </w:rPr>
              <w:t xml:space="preserve">upport the student’s </w:t>
            </w:r>
            <w:proofErr w:type="spellStart"/>
            <w:proofErr w:type="gramStart"/>
            <w:r>
              <w:rPr>
                <w:sz w:val="20"/>
                <w:szCs w:val="20"/>
              </w:rPr>
              <w:t>explanation.The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argument is clear, concise, and coherent. It is evident that the student has gained mastery of the subject.</w:t>
            </w:r>
          </w:p>
        </w:tc>
      </w:tr>
      <w:tr w:rsidR="00486BF2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Newton’s Third Law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absent.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section is incomplete or does not correctly ad</w:t>
            </w:r>
            <w:r>
              <w:rPr>
                <w:sz w:val="20"/>
                <w:szCs w:val="20"/>
              </w:rPr>
              <w:t xml:space="preserve">dress the prompt. No examples are provided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Newton’s Third Law is explained correctly. At least one example is included to support the student’s explanation. The argument is clear and coherent.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Newton’s Third Law is explained correctly. At least two exampl</w:t>
            </w:r>
            <w:r>
              <w:rPr>
                <w:sz w:val="20"/>
                <w:szCs w:val="20"/>
              </w:rPr>
              <w:t xml:space="preserve">es are included to support the student’s </w:t>
            </w:r>
            <w:proofErr w:type="spellStart"/>
            <w:proofErr w:type="gramStart"/>
            <w:r>
              <w:rPr>
                <w:sz w:val="20"/>
                <w:szCs w:val="20"/>
              </w:rPr>
              <w:t>explanation.The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argument is clear, concise, and coherent. It is evident that the student has gained mastery of the subject.</w:t>
            </w:r>
          </w:p>
        </w:tc>
      </w:tr>
      <w:tr w:rsidR="00486BF2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why Newton’s Laws are Important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section is absent.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section is incomplete or does not correctly address the prompt.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point is correctly addressed. The argument is clear and coherent. 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point is correctly addressed. The argument is clear, concise, and coherent and uses evidence the student has gat</w:t>
            </w:r>
            <w:r>
              <w:rPr>
                <w:sz w:val="20"/>
                <w:szCs w:val="20"/>
              </w:rPr>
              <w:t>hered as support. It is evident that the student has mastered the topic.</w:t>
            </w:r>
          </w:p>
        </w:tc>
      </w:tr>
      <w:tr w:rsidR="00486BF2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Quality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response is submitted or the submitted response is incoherent or illegible.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is incomplete; it does not demonstrate thought or mastery of the topic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is complete, coherent, and thoughtful.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is complete, coherent, and thoughtful. It is evident that the student has achieved mastery of the topic.</w:t>
            </w:r>
          </w:p>
        </w:tc>
      </w:tr>
      <w:tr w:rsidR="00486BF2">
        <w:trPr>
          <w:trHeight w:val="16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E77A1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486B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486B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486B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BF2" w:rsidRDefault="00486B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bookmarkEnd w:id="0"/>
    </w:tbl>
    <w:p w:rsidR="00486BF2" w:rsidRDefault="00486BF2">
      <w:pPr>
        <w:widowControl w:val="0"/>
        <w:rPr>
          <w:sz w:val="20"/>
          <w:szCs w:val="20"/>
        </w:rPr>
      </w:pPr>
    </w:p>
    <w:sectPr w:rsidR="00486BF2">
      <w:pgSz w:w="12240" w:h="15840"/>
      <w:pgMar w:top="431" w:right="576" w:bottom="431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F2"/>
    <w:rsid w:val="00486BF2"/>
    <w:rsid w:val="00E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55D81-7520-4CAA-BC08-F7207F0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Mendez</dc:creator>
  <cp:lastModifiedBy>Daniel Mendez</cp:lastModifiedBy>
  <cp:revision>2</cp:revision>
  <dcterms:created xsi:type="dcterms:W3CDTF">2017-04-05T19:43:00Z</dcterms:created>
  <dcterms:modified xsi:type="dcterms:W3CDTF">2017-04-05T19:43:00Z</dcterms:modified>
</cp:coreProperties>
</file>